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22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5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8"/>
      </w:pPr>
      <w:r>
        <w:rPr>
          <w:rFonts w:ascii="Arial" w:hAnsi="Arial"/>
          <w:sz w:val="20"/>
          <w:szCs w:val="20"/>
        </w:rPr>
        <w:t xml:space="preserve">Наименование МТР: </w:t>
      </w:r>
      <w:r>
        <w:rPr>
          <w:rFonts w:ascii="Arial" w:hAnsi="Arial"/>
          <w:bCs/>
          <w:sz w:val="20"/>
          <w:szCs w:val="20"/>
        </w:rPr>
        <w:t xml:space="preserve">Задвижка клиновая с обрезиненным клином Ду </w:t>
      </w:r>
      <w:r>
        <w:rPr>
          <w:rFonts w:ascii="Arial" w:hAnsi="Arial"/>
          <w:bCs/>
          <w:sz w:val="20"/>
          <w:szCs w:val="20"/>
        </w:rPr>
        <w:t xml:space="preserve">600</w:t>
      </w:r>
      <w:r>
        <w:rPr>
          <w:rFonts w:ascii="Arial" w:hAnsi="Arial"/>
          <w:bCs/>
          <w:sz w:val="20"/>
          <w:szCs w:val="20"/>
        </w:rPr>
        <w:t xml:space="preserve"> Ру </w:t>
      </w:r>
      <w:r>
        <w:rPr>
          <w:rFonts w:ascii="Arial" w:hAnsi="Arial"/>
          <w:bCs/>
          <w:sz w:val="20"/>
          <w:szCs w:val="20"/>
        </w:rPr>
        <w:t xml:space="preserve">16</w:t>
      </w:r>
      <w:r/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142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0"/>
        <w:gridCol w:w="3848"/>
        <w:gridCol w:w="11"/>
        <w:gridCol w:w="1389"/>
        <w:gridCol w:w="3690"/>
      </w:tblGrid>
      <w:tr>
        <w:trPr>
          <w:cantSplit w:val="false"/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600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1,6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390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штурвал/ редуктор/</w:t>
            </w:r>
            <w:r/>
          </w:p>
          <w:p>
            <w:r>
              <w:rPr>
                <w:rFonts w:ascii="Arial" w:hAnsi="Arial"/>
                <w:i/>
                <w:sz w:val="18"/>
                <w:szCs w:val="18"/>
              </w:rPr>
              <w:t xml:space="preserve">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  <w:highlight w:val="none"/>
              </w:rPr>
              <w:t xml:space="preserve">штурвал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2.1.4.1074/ сточные воды хозбыт канализации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Питьевая вода по СанПин 2.1.4.1074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полнопроходная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прижимное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</w:t>
            </w:r>
            <w:r/>
          </w:p>
        </w:tc>
      </w:tr>
      <w:tr>
        <w:trPr>
          <w:cantSplit w:val="false"/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от +0,1 до +40°С 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>
              <w:rPr>
                <w:rFonts w:ascii="Arial" w:hAnsi="Arial"/>
                <w:sz w:val="18"/>
                <w:szCs w:val="18"/>
              </w:rPr>
              <w:t xml:space="preserve">)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cantSplit w:val="false"/>
          <w:trHeight w:val="1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корпуса и клиновой части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задвижка имеет направляющие на корпусе и клиновой части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ковкий чугун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фиксации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 </w:t>
            </w:r>
            <w:r>
              <w:rPr>
                <w:rStyle w:val="674"/>
                <w:rFonts w:ascii="Arial" w:hAnsi="Arial"/>
                <w:i w:val="false"/>
                <w:iCs w:val="false"/>
                <w:sz w:val="18"/>
                <w:szCs w:val="18"/>
                <w:shd w:val="clear" w:fill="FFFFFF" w:color="FFFFFF"/>
              </w:rPr>
              <w:t xml:space="preserve">ЛМц58</w:t>
            </w: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-</w:t>
            </w:r>
            <w:r>
              <w:rPr>
                <w:rStyle w:val="674"/>
                <w:rFonts w:ascii="Arial" w:hAnsi="Arial"/>
                <w:i w:val="false"/>
                <w:iCs w:val="false"/>
                <w:sz w:val="18"/>
                <w:szCs w:val="18"/>
                <w:shd w:val="clear" w:fill="FFFFFF" w:color="FFFFFF"/>
              </w:rPr>
              <w:t xml:space="preserve">2 ГОСТ</w:t>
            </w: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 15527-70</w:t>
            </w:r>
            <w:r>
              <w:rPr>
                <w:rFonts w:ascii="Arial" w:hAnsi="Arial"/>
                <w:sz w:val="18"/>
                <w:szCs w:val="18"/>
              </w:rPr>
              <w:t xml:space="preserve"> или аналог, гайка должна подлежать замене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"https://www.lador.ru/gost/gost-5949-75.pdf" \n _blank</w:instrText>
            </w:r>
            <w:r>
              <w:fldChar w:fldCharType="separate"/>
            </w:r>
            <w:r>
              <w:rPr>
                <w:rStyle w:val="671"/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ГОСТ 5949-75</w:t>
            </w:r>
            <w:r>
              <w:fldChar w:fldCharType="end"/>
            </w:r>
            <w:r>
              <w:rPr>
                <w:rFonts w:ascii="Arial" w:hAnsi="Arial"/>
                <w:b w:val="false"/>
                <w:bCs w:val="false"/>
                <w:sz w:val="18"/>
                <w:szCs w:val="18"/>
              </w:rPr>
              <w:t xml:space="preserve"> или аналог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 с шаровидным графитом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штурвала (в случае поставки с штурвалом,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</w:t>
            </w:r>
            <w:r/>
          </w:p>
        </w:tc>
      </w:tr>
      <w:tr>
        <w:trPr>
          <w:cantSplit w:val="false"/>
          <w:trHeight w:val="10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Болт крепления штурвала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12Х13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"https://www.lador.ru/gost/gost-5949-75.pdf" \n _blank</w:instrText>
            </w:r>
            <w:r>
              <w:fldChar w:fldCharType="separate"/>
            </w:r>
            <w:r>
              <w:rPr>
                <w:rStyle w:val="671"/>
                <w:rFonts w:ascii="Arial" w:hAnsi="Arial"/>
                <w:b/>
                <w:bCs/>
                <w:color w:val="000000"/>
                <w:sz w:val="18"/>
                <w:szCs w:val="18"/>
                <w:u w:val="none"/>
              </w:rPr>
              <w:t xml:space="preserve">ГОСТ 5949-75</w:t>
            </w:r>
            <w:r>
              <w:fldChar w:fldCharType="end"/>
            </w:r>
            <w:r>
              <w:rPr>
                <w:rFonts w:ascii="Arial" w:hAnsi="Arial"/>
                <w:b w:val="false"/>
                <w:bCs w:val="false"/>
                <w:sz w:val="18"/>
                <w:szCs w:val="18"/>
              </w:rPr>
              <w:t xml:space="preserve"> или аналог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штока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сальниковой втулки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Сальниковая втулка, материал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 </w:t>
            </w:r>
            <w:r>
              <w:rPr>
                <w:rStyle w:val="674"/>
                <w:rFonts w:ascii="Arial" w:hAnsi="Arial"/>
                <w:i w:val="false"/>
                <w:iCs w:val="false"/>
                <w:sz w:val="18"/>
                <w:szCs w:val="18"/>
                <w:shd w:val="clear" w:fill="FFFFFF" w:color="FFFFFF"/>
              </w:rPr>
              <w:t xml:space="preserve">ЛМц58</w:t>
            </w: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-</w:t>
            </w:r>
            <w:r>
              <w:rPr>
                <w:rStyle w:val="674"/>
                <w:rFonts w:ascii="Arial" w:hAnsi="Arial"/>
                <w:i w:val="false"/>
                <w:iCs w:val="false"/>
                <w:sz w:val="18"/>
                <w:szCs w:val="18"/>
                <w:shd w:val="clear" w:fill="FFFFFF" w:color="FFFFFF"/>
              </w:rPr>
              <w:t xml:space="preserve">2 ГОСТ</w:t>
            </w: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 15527-70 или аналог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конструкционная углеродистая сталь Ст.20 ГОСТ1050-88 или аналог с антикоррозионным гальваническим покрытием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2500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50</w:t>
            </w:r>
            <w:r/>
          </w:p>
        </w:tc>
      </w:tr>
    </w:tbl>
    <w:p>
      <w:pPr>
        <w:pStyle w:val="658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Лобанов Геннадий Михайлович 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Начальник участка УИС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</w:rPr>
            </w:pPr>
            <w:r>
              <w:rPr>
                <w:rFonts w:ascii="Arial" w:hAnsi="Arial" w:cs="Arial" w:eastAsia="Arial"/>
                <w:sz w:val="18"/>
              </w:rPr>
              <w:t xml:space="preserve">8(3466)25-27-70</w:t>
            </w:r>
            <w:r>
              <w:rPr>
                <w:rFonts w:ascii="Arial" w:hAnsi="Arial" w:cs="Arial" w:eastAsia="Arial"/>
                <w:sz w:val="18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rFonts w:ascii="Arial" w:hAnsi="Arial"/>
                <w:sz w:val="18"/>
                <w:szCs w:val="17"/>
                <w:u w:val="none"/>
              </w:rPr>
              <w:t xml:space="preserve">lobanov_gm@nvcs.ru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</w:rPr>
            </w:pPr>
            <w:r>
              <w:rPr>
                <w:rFonts w:ascii="Arial" w:hAnsi="Arial"/>
                <w:sz w:val="17"/>
                <w:szCs w:val="17"/>
              </w:rPr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2">
      <w:start w:val="1"/>
      <w:numFmt w:val="decimal"/>
      <w:pStyle w:val="659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basedOn w:val="658"/>
    <w:next w:val="658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basedOn w:val="658"/>
    <w:next w:val="658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basedOn w:val="658"/>
    <w:next w:val="658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basedOn w:val="658"/>
    <w:next w:val="658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basedOn w:val="658"/>
    <w:next w:val="658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basedOn w:val="658"/>
    <w:next w:val="658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basedOn w:val="658"/>
    <w:next w:val="658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basedOn w:val="658"/>
    <w:next w:val="65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basedOn w:val="658"/>
    <w:next w:val="658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basedOn w:val="658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basedOn w:val="658"/>
    <w:next w:val="658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basedOn w:val="658"/>
    <w:next w:val="658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basedOn w:val="658"/>
    <w:next w:val="658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basedOn w:val="658"/>
    <w:next w:val="658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basedOn w:val="658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basedOn w:val="658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basedOn w:val="6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basedOn w:val="658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basedOn w:val="658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648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649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650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651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652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653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654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655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table" w:styleId="6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8" w:default="1">
    <w:name w:val="Normal"/>
    <w:next w:val="658"/>
    <w:rPr>
      <w:rFonts w:ascii="Times New Roman" w:hAnsi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paragraph" w:styleId="659">
    <w:name w:val="Заголовок 3"/>
    <w:basedOn w:val="658"/>
    <w:next w:val="679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60">
    <w:name w:val="WW8Num1z0"/>
    <w:next w:val="660"/>
  </w:style>
  <w:style w:type="character" w:styleId="661">
    <w:name w:val="WW8Num1z1"/>
    <w:next w:val="661"/>
  </w:style>
  <w:style w:type="character" w:styleId="662">
    <w:name w:val="WW8Num1z2"/>
    <w:next w:val="662"/>
  </w:style>
  <w:style w:type="character" w:styleId="663">
    <w:name w:val="WW8Num1z3"/>
    <w:next w:val="663"/>
  </w:style>
  <w:style w:type="character" w:styleId="664">
    <w:name w:val="WW8Num1z4"/>
    <w:next w:val="664"/>
  </w:style>
  <w:style w:type="character" w:styleId="665">
    <w:name w:val="WW8Num1z5"/>
    <w:next w:val="665"/>
  </w:style>
  <w:style w:type="character" w:styleId="666">
    <w:name w:val="WW8Num1z6"/>
    <w:next w:val="666"/>
  </w:style>
  <w:style w:type="character" w:styleId="667">
    <w:name w:val="WW8Num1z7"/>
    <w:next w:val="667"/>
  </w:style>
  <w:style w:type="character" w:styleId="668">
    <w:name w:val="WW8Num1z8"/>
    <w:next w:val="668"/>
  </w:style>
  <w:style w:type="character" w:styleId="669">
    <w:name w:val="Основной шрифт абзаца"/>
    <w:next w:val="669"/>
  </w:style>
  <w:style w:type="character" w:styleId="670">
    <w:name w:val="Выделение жирным"/>
    <w:next w:val="670"/>
    <w:rPr>
      <w:b/>
      <w:bCs/>
    </w:rPr>
  </w:style>
  <w:style w:type="character" w:styleId="671">
    <w:name w:val="Интернет-ссылка"/>
    <w:next w:val="671"/>
    <w:rPr>
      <w:color w:val="0000FF"/>
      <w:u w:val="single"/>
    </w:rPr>
  </w:style>
  <w:style w:type="character" w:styleId="672">
    <w:name w:val="Текст выноски Знак"/>
    <w:next w:val="672"/>
    <w:rPr>
      <w:rFonts w:ascii="Tahoma" w:hAnsi="Tahoma"/>
      <w:sz w:val="16"/>
      <w:szCs w:val="16"/>
    </w:rPr>
  </w:style>
  <w:style w:type="character" w:styleId="673">
    <w:name w:val="Заголовок 3 Знак"/>
    <w:next w:val="673"/>
    <w:rPr>
      <w:b/>
      <w:bCs/>
      <w:sz w:val="27"/>
      <w:szCs w:val="27"/>
    </w:rPr>
  </w:style>
  <w:style w:type="character" w:styleId="674">
    <w:name w:val="Выделение"/>
    <w:next w:val="674"/>
    <w:rPr>
      <w:i/>
      <w:iCs/>
    </w:rPr>
  </w:style>
  <w:style w:type="character" w:styleId="675">
    <w:name w:val="Знак примечания"/>
    <w:next w:val="675"/>
    <w:rPr>
      <w:sz w:val="16"/>
      <w:szCs w:val="16"/>
    </w:rPr>
  </w:style>
  <w:style w:type="character" w:styleId="676">
    <w:name w:val="Текст примечания Знак"/>
    <w:basedOn w:val="669"/>
    <w:next w:val="676"/>
  </w:style>
  <w:style w:type="character" w:styleId="677">
    <w:name w:val="Тема примечания Знак"/>
    <w:next w:val="677"/>
    <w:rPr>
      <w:b/>
      <w:bCs/>
    </w:rPr>
  </w:style>
  <w:style w:type="paragraph" w:styleId="678">
    <w:name w:val="Заголовок"/>
    <w:basedOn w:val="658"/>
    <w:next w:val="679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79">
    <w:name w:val="Основной текст"/>
    <w:basedOn w:val="658"/>
    <w:next w:val="679"/>
    <w:pPr>
      <w:spacing w:lineRule="auto" w:line="276" w:after="140" w:before="0"/>
    </w:pPr>
  </w:style>
  <w:style w:type="paragraph" w:styleId="680">
    <w:name w:val="Список"/>
    <w:basedOn w:val="679"/>
    <w:next w:val="680"/>
  </w:style>
  <w:style w:type="paragraph" w:styleId="681">
    <w:name w:val="Название"/>
    <w:basedOn w:val="658"/>
    <w:next w:val="681"/>
    <w:rPr>
      <w:i/>
      <w:iCs/>
      <w:sz w:val="24"/>
      <w:szCs w:val="24"/>
    </w:rPr>
    <w:pPr>
      <w:spacing w:after="120" w:before="120"/>
      <w:suppressLineNumbers/>
    </w:pPr>
  </w:style>
  <w:style w:type="paragraph" w:styleId="682">
    <w:name w:val="Указатель"/>
    <w:basedOn w:val="658"/>
    <w:next w:val="682"/>
    <w:rPr>
      <w:lang w:val="en-US" w:bidi="en-US" w:eastAsia="en-US"/>
    </w:rPr>
    <w:pPr>
      <w:suppressLineNumbers/>
    </w:pPr>
  </w:style>
  <w:style w:type="paragraph" w:styleId="683">
    <w:name w:val="Обычный (веб)"/>
    <w:basedOn w:val="658"/>
    <w:next w:val="683"/>
    <w:pPr>
      <w:spacing w:after="280" w:before="280"/>
    </w:pPr>
  </w:style>
  <w:style w:type="paragraph" w:styleId="684">
    <w:name w:val="Верхний и нижний колонтитулы"/>
    <w:basedOn w:val="658"/>
    <w:next w:val="684"/>
    <w:pPr>
      <w:tabs>
        <w:tab w:val="center" w:pos="4819" w:leader="none"/>
        <w:tab w:val="right" w:pos="9638" w:leader="none"/>
      </w:tabs>
      <w:suppressLineNumbers/>
    </w:pPr>
  </w:style>
  <w:style w:type="paragraph" w:styleId="685">
    <w:name w:val="Нижний колонтитул"/>
    <w:basedOn w:val="658"/>
    <w:next w:val="685"/>
  </w:style>
  <w:style w:type="paragraph" w:styleId="686">
    <w:name w:val="Верхний колонтитул"/>
    <w:basedOn w:val="658"/>
    <w:next w:val="686"/>
  </w:style>
  <w:style w:type="paragraph" w:styleId="687">
    <w:name w:val="Текст выноски"/>
    <w:basedOn w:val="658"/>
    <w:next w:val="687"/>
    <w:rPr>
      <w:rFonts w:ascii="Tahoma" w:hAnsi="Tahoma"/>
      <w:sz w:val="16"/>
      <w:szCs w:val="16"/>
    </w:rPr>
  </w:style>
  <w:style w:type="paragraph" w:styleId="688">
    <w:name w:val="Текст примечания"/>
    <w:basedOn w:val="658"/>
    <w:next w:val="688"/>
    <w:rPr>
      <w:sz w:val="20"/>
      <w:szCs w:val="20"/>
    </w:rPr>
  </w:style>
  <w:style w:type="paragraph" w:styleId="689">
    <w:name w:val="Тема примечания"/>
    <w:basedOn w:val="688"/>
    <w:next w:val="688"/>
    <w:rPr>
      <w:b/>
      <w:bCs/>
    </w:rPr>
  </w:style>
  <w:style w:type="paragraph" w:styleId="690">
    <w:name w:val="Содержимое таблицы"/>
    <w:basedOn w:val="658"/>
    <w:next w:val="690"/>
    <w:pPr>
      <w:widowControl w:val="off"/>
      <w:suppressLineNumbers/>
    </w:pPr>
  </w:style>
  <w:style w:type="paragraph" w:styleId="691">
    <w:name w:val="Заголовок таблицы"/>
    <w:basedOn w:val="690"/>
    <w:next w:val="691"/>
    <w:rPr>
      <w:b/>
      <w:bCs/>
    </w:rPr>
    <w:pPr>
      <w:jc w:val="center"/>
      <w:suppressLineNumbers/>
    </w:pPr>
  </w:style>
  <w:style w:type="character" w:styleId="692" w:default="1">
    <w:name w:val="Default Paragraph Font"/>
    <w:uiPriority w:val="1"/>
    <w:semiHidden/>
    <w:unhideWhenUsed/>
  </w:style>
  <w:style w:type="numbering" w:styleId="693" w:default="1">
    <w:name w:val="No List"/>
    <w:uiPriority w:val="99"/>
    <w:semiHidden/>
    <w:unhideWhenUsed/>
  </w:style>
  <w:style w:type="paragraph" w:styleId="1_789">
    <w:name w:val="Обычный"/>
    <w:next w:val="645"/>
    <w:link w:val="645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2022-01-11T11:23:42Z</dcterms:modified>
</cp:coreProperties>
</file>